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Wie geht’s? </w:t>
      </w:r>
      <w:r>
        <w:rPr>
          <w:rFonts w:ascii="Trebuchet MS" w:hAnsi="Trebuchet MS"/>
          <w:b/>
          <w:color w:val="231F20"/>
          <w:w w:val="140"/>
          <w:sz w:val="32"/>
        </w:rPr>
        <w:t>– </w:t>
      </w:r>
      <w:r>
        <w:rPr>
          <w:rFonts w:ascii="Trebuchet MS" w:hAnsi="Trebuchet MS"/>
          <w:b/>
          <w:color w:val="231F20"/>
          <w:w w:val="110"/>
          <w:sz w:val="32"/>
        </w:rPr>
        <w:t>Hvordan går det?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 geht es Ihnen?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Hvordan har De det?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 geht es dir?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Hvordan har du det?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 geht’s?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Hvordan går det?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Mir geht’s gut.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har det bra.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geht.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Det går ganske bra.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Mir geht es nicht so gut.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har det ikke så bra.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fühle mich gut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har det bra.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5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0.987878pt" to="535.7485pt,10.987878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9"/>
      <w:ind w:left="112"/>
    </w:pPr>
    <w:rPr>
      <w:rFonts w:ascii="Book Antiqua" w:hAnsi="Book Antiqua" w:eastAsia="Book Antiqua" w:cs="Book Antiq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2018-11-08T14:56:01Z</dcterms:created>
  <dcterms:modified xsi:type="dcterms:W3CDTF">2018-11-08T14:56:01Z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