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Märchen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7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Eventyr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4755"/>
      </w:tblGrid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Es war einmal …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Det var en gang …</w:t>
            </w:r>
          </w:p>
        </w:tc>
      </w:tr>
      <w:tr>
        <w:trPr>
          <w:trHeight w:val="739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color w:val="231F20"/>
                <w:sz w:val="24"/>
              </w:rPr>
              <w:t>... und wenn sie nicht gestorben sind, dann</w:t>
            </w:r>
          </w:p>
          <w:p>
            <w:pPr>
              <w:pStyle w:val="TableParagraph"/>
              <w:spacing w:before="78"/>
              <w:rPr>
                <w:sz w:val="24"/>
              </w:rPr>
            </w:pPr>
            <w:r>
              <w:rPr>
                <w:color w:val="231F20"/>
                <w:sz w:val="24"/>
              </w:rPr>
              <w:t>leben sie noch heute</w:t>
            </w:r>
          </w:p>
        </w:tc>
        <w:tc>
          <w:tcPr>
            <w:tcW w:w="4755" w:type="dxa"/>
          </w:tcPr>
          <w:p>
            <w:pPr>
              <w:pStyle w:val="TableParagraph"/>
              <w:spacing w:before="225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… og om de ikke er døde, så lever de ennå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Troll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trollet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Prinzessin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prinsessen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Prinz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prinsen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Schloss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slottet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Fee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feen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Hexe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heksen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König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kongen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Königin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dronningen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Königreich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kongeriket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Helfer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hjelperen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Feind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fienden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Glück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lykken</w:t>
            </w:r>
          </w:p>
        </w:tc>
      </w:tr>
      <w:tr>
        <w:trPr>
          <w:trHeight w:val="495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Pech</w:t>
            </w:r>
          </w:p>
        </w:tc>
        <w:tc>
          <w:tcPr>
            <w:tcW w:w="4755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uflaksen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1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4.337612pt" to="535.7485pt,14.337612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3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2018-11-08T14:52:25Z</dcterms:created>
  <dcterms:modified xsi:type="dcterms:W3CDTF">2018-11-08T14:52:25Z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